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2D" w:rsidRPr="00EE1D2D" w:rsidRDefault="00EE1D2D" w:rsidP="00EE1D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Fixed Asset</w:t>
      </w:r>
      <w:r w:rsidRPr="00EE1D2D">
        <w:rPr>
          <w:rFonts w:ascii="Arial" w:hAnsi="Arial" w:cs="Arial"/>
          <w:b/>
          <w:sz w:val="24"/>
          <w:szCs w:val="24"/>
        </w:rPr>
        <w:t xml:space="preserve"> Management Systems</w:t>
      </w:r>
    </w:p>
    <w:p w:rsidR="00EE1D2D" w:rsidRDefault="00EE1D2D" w:rsidP="00EE1D2D">
      <w:pPr>
        <w:rPr>
          <w:rFonts w:ascii="Arial" w:hAnsi="Arial" w:cs="Arial"/>
          <w:sz w:val="20"/>
          <w:szCs w:val="20"/>
        </w:rPr>
      </w:pPr>
      <w:r w:rsidRPr="00EE1D2D">
        <w:rPr>
          <w:rFonts w:ascii="Arial" w:hAnsi="Arial" w:cs="Arial"/>
          <w:b/>
          <w:sz w:val="18"/>
          <w:szCs w:val="18"/>
        </w:rPr>
        <w:t xml:space="preserve">Key: (P) </w:t>
      </w:r>
      <w:r w:rsidRPr="00EE1D2D">
        <w:rPr>
          <w:rFonts w:ascii="Arial" w:hAnsi="Arial" w:cs="Arial"/>
          <w:sz w:val="20"/>
          <w:szCs w:val="20"/>
        </w:rPr>
        <w:t>Preventative control</w:t>
      </w:r>
      <w:r w:rsidRPr="00EE1D2D">
        <w:rPr>
          <w:rFonts w:ascii="Arial" w:hAnsi="Arial" w:cs="Arial"/>
          <w:b/>
          <w:sz w:val="18"/>
          <w:szCs w:val="18"/>
        </w:rPr>
        <w:tab/>
        <w:t xml:space="preserve">(D) </w:t>
      </w:r>
      <w:r w:rsidRPr="00EE1D2D">
        <w:rPr>
          <w:rFonts w:ascii="Arial" w:hAnsi="Arial" w:cs="Arial"/>
          <w:sz w:val="20"/>
          <w:szCs w:val="20"/>
        </w:rPr>
        <w:t xml:space="preserve">Detective control </w:t>
      </w:r>
    </w:p>
    <w:p w:rsidR="00EE1D2D" w:rsidRDefault="00EE1D2D" w:rsidP="00EE1D2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FF6274" w:rsidTr="00FF6274">
        <w:trPr>
          <w:trHeight w:val="406"/>
        </w:trPr>
        <w:tc>
          <w:tcPr>
            <w:tcW w:w="3080" w:type="dxa"/>
          </w:tcPr>
          <w:p w:rsidR="00FF6274" w:rsidRPr="004D5D2F" w:rsidRDefault="00FF6274" w:rsidP="009413F1">
            <w:pPr>
              <w:tabs>
                <w:tab w:val="left" w:pos="2768"/>
              </w:tabs>
              <w:spacing w:before="80" w:line="240" w:lineRule="atLeast"/>
              <w:ind w:right="65"/>
              <w:rPr>
                <w:rFonts w:ascii="Arial" w:hAnsi="Arial"/>
                <w:b/>
                <w:sz w:val="18"/>
                <w:szCs w:val="18"/>
              </w:rPr>
            </w:pPr>
            <w:r w:rsidRPr="004D5D2F">
              <w:rPr>
                <w:rFonts w:ascii="Arial" w:hAnsi="Arial"/>
                <w:b/>
                <w:sz w:val="18"/>
                <w:szCs w:val="18"/>
              </w:rPr>
              <w:t>Key control and process</w:t>
            </w:r>
          </w:p>
        </w:tc>
        <w:tc>
          <w:tcPr>
            <w:tcW w:w="3081" w:type="dxa"/>
          </w:tcPr>
          <w:p w:rsidR="00FF6274" w:rsidRPr="004D5D2F" w:rsidRDefault="00FF6274" w:rsidP="009413F1">
            <w:pPr>
              <w:spacing w:before="80" w:line="240" w:lineRule="atLeast"/>
              <w:ind w:left="2"/>
              <w:rPr>
                <w:rFonts w:ascii="Arial" w:hAnsi="Arial"/>
                <w:b/>
                <w:sz w:val="18"/>
                <w:szCs w:val="18"/>
              </w:rPr>
            </w:pPr>
            <w:r w:rsidRPr="004D5D2F">
              <w:rPr>
                <w:rFonts w:ascii="Arial" w:hAnsi="Arial"/>
                <w:b/>
                <w:sz w:val="18"/>
                <w:szCs w:val="18"/>
              </w:rPr>
              <w:t>Commentary</w:t>
            </w:r>
          </w:p>
        </w:tc>
        <w:tc>
          <w:tcPr>
            <w:tcW w:w="3081" w:type="dxa"/>
          </w:tcPr>
          <w:p w:rsidR="00FF6274" w:rsidRDefault="00FF6274" w:rsidP="00EE1D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6274" w:rsidTr="00FF6274">
        <w:trPr>
          <w:trHeight w:val="1009"/>
        </w:trPr>
        <w:tc>
          <w:tcPr>
            <w:tcW w:w="3080" w:type="dxa"/>
          </w:tcPr>
          <w:p w:rsidR="00FF6274" w:rsidRPr="00FF6274" w:rsidRDefault="00FF6274" w:rsidP="00FF62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Approval of purchasing of fixed assets by senior leadership. Significant purchase approved by church committee or council </w:t>
            </w:r>
            <w:r w:rsidRPr="00FF6274">
              <w:rPr>
                <w:rFonts w:ascii="Arial" w:hAnsi="Arial" w:cs="Arial"/>
                <w:b/>
                <w:sz w:val="18"/>
                <w:szCs w:val="18"/>
              </w:rPr>
              <w:t>(P)</w:t>
            </w:r>
          </w:p>
        </w:tc>
        <w:tc>
          <w:tcPr>
            <w:tcW w:w="3081" w:type="dxa"/>
          </w:tcPr>
          <w:p w:rsidR="00973C52" w:rsidRPr="00973C52" w:rsidRDefault="00FF6274" w:rsidP="00FF62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process ensures that </w:t>
            </w:r>
            <w:r w:rsidR="00973C52">
              <w:rPr>
                <w:rFonts w:ascii="Arial" w:hAnsi="Arial" w:cs="Arial"/>
                <w:sz w:val="18"/>
                <w:szCs w:val="18"/>
              </w:rPr>
              <w:t>the church’s funds are protected from unauthorised purchases of fixed asset by the staff. This also assists the church to reduce wastage of fixed assets purchased.</w:t>
            </w:r>
          </w:p>
          <w:p w:rsidR="00FF6274" w:rsidRPr="00973C52" w:rsidRDefault="00FF6274" w:rsidP="00973C52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973C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81" w:type="dxa"/>
          </w:tcPr>
          <w:p w:rsidR="00FF6274" w:rsidRDefault="00FF6274" w:rsidP="00EE1D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6274" w:rsidTr="00FF6274">
        <w:trPr>
          <w:trHeight w:val="1045"/>
        </w:trPr>
        <w:tc>
          <w:tcPr>
            <w:tcW w:w="3080" w:type="dxa"/>
          </w:tcPr>
          <w:p w:rsidR="00FF6274" w:rsidRPr="00973C52" w:rsidRDefault="00973C52" w:rsidP="00EE1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Approval of sale of fixed assets by senior leadership. Sale of significant assets approved by church committee or council </w:t>
            </w:r>
            <w:r w:rsidRPr="00FF6274">
              <w:rPr>
                <w:rFonts w:ascii="Arial" w:hAnsi="Arial" w:cs="Arial"/>
                <w:b/>
                <w:sz w:val="18"/>
                <w:szCs w:val="18"/>
              </w:rPr>
              <w:t>(P)</w:t>
            </w:r>
          </w:p>
        </w:tc>
        <w:tc>
          <w:tcPr>
            <w:tcW w:w="3081" w:type="dxa"/>
          </w:tcPr>
          <w:p w:rsidR="00973C52" w:rsidRPr="00973C52" w:rsidRDefault="00973C52" w:rsidP="00973C5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process ensures that assets are not sold without authorisation and funds from the sale are not misappropriated. </w:t>
            </w:r>
          </w:p>
          <w:p w:rsidR="00973C52" w:rsidRPr="00973C52" w:rsidRDefault="00973C52" w:rsidP="00973C52">
            <w:pPr>
              <w:pStyle w:val="List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1" w:type="dxa"/>
          </w:tcPr>
          <w:p w:rsidR="00FF6274" w:rsidRDefault="00FF6274" w:rsidP="00EE1D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6274" w:rsidTr="00FF6274">
        <w:trPr>
          <w:trHeight w:val="1009"/>
        </w:trPr>
        <w:tc>
          <w:tcPr>
            <w:tcW w:w="3080" w:type="dxa"/>
          </w:tcPr>
          <w:p w:rsidR="00323D73" w:rsidRDefault="00DF6164" w:rsidP="00EE1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Appropriately accounting for fixed assets using a fixed asset register.</w:t>
            </w:r>
            <w:r w:rsidR="008F45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451B">
              <w:rPr>
                <w:rFonts w:ascii="Arial" w:hAnsi="Arial" w:cs="Arial"/>
                <w:b/>
                <w:sz w:val="18"/>
                <w:szCs w:val="18"/>
              </w:rPr>
              <w:t>(D</w:t>
            </w:r>
            <w:r w:rsidR="008F451B" w:rsidRPr="00FF6274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F6274" w:rsidRDefault="00DF6164" w:rsidP="00EE1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review of the fixed asset register </w:t>
            </w:r>
            <w:r w:rsidR="00323D73">
              <w:rPr>
                <w:rFonts w:ascii="Arial" w:hAnsi="Arial" w:cs="Arial"/>
                <w:sz w:val="18"/>
                <w:szCs w:val="18"/>
              </w:rPr>
              <w:t xml:space="preserve">done </w:t>
            </w:r>
            <w:r>
              <w:rPr>
                <w:rFonts w:ascii="Arial" w:hAnsi="Arial" w:cs="Arial"/>
                <w:sz w:val="18"/>
                <w:szCs w:val="18"/>
              </w:rPr>
              <w:t>annually</w:t>
            </w:r>
            <w:r w:rsidR="00323D73">
              <w:rPr>
                <w:rFonts w:ascii="Arial" w:hAnsi="Arial" w:cs="Arial"/>
                <w:sz w:val="18"/>
                <w:szCs w:val="18"/>
              </w:rPr>
              <w:t>. This</w:t>
            </w:r>
            <w:r>
              <w:rPr>
                <w:rFonts w:ascii="Arial" w:hAnsi="Arial" w:cs="Arial"/>
                <w:sz w:val="18"/>
                <w:szCs w:val="18"/>
              </w:rPr>
              <w:t xml:space="preserve"> ensure</w:t>
            </w:r>
            <w:r w:rsidR="00323D73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that </w:t>
            </w:r>
            <w:r w:rsidR="00323D73">
              <w:rPr>
                <w:rFonts w:ascii="Arial" w:hAnsi="Arial" w:cs="Arial"/>
                <w:sz w:val="18"/>
                <w:szCs w:val="18"/>
              </w:rPr>
              <w:t>assets which have been fully written down are still being used.</w:t>
            </w:r>
            <w:r w:rsidR="008F45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451B">
              <w:rPr>
                <w:rFonts w:ascii="Arial" w:hAnsi="Arial" w:cs="Arial"/>
                <w:b/>
                <w:sz w:val="18"/>
                <w:szCs w:val="18"/>
              </w:rPr>
              <w:t>(D</w:t>
            </w:r>
            <w:r w:rsidR="008F451B" w:rsidRPr="00FF627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323D73" w:rsidRDefault="003758F3" w:rsidP="00EE1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fixed asset stock-</w:t>
            </w:r>
            <w:r w:rsidR="00323D73">
              <w:rPr>
                <w:rFonts w:ascii="Arial" w:hAnsi="Arial" w:cs="Arial"/>
                <w:sz w:val="18"/>
                <w:szCs w:val="18"/>
              </w:rPr>
              <w:t xml:space="preserve">take </w:t>
            </w:r>
            <w:r>
              <w:rPr>
                <w:rFonts w:ascii="Arial" w:hAnsi="Arial" w:cs="Arial"/>
                <w:sz w:val="18"/>
                <w:szCs w:val="18"/>
              </w:rPr>
              <w:t xml:space="preserve">to be done every 3 to 5 years to ensure that fixed asset register is up to date and is adequately reflective of the fixed assets with the church. </w:t>
            </w:r>
            <w:r w:rsidR="008F451B">
              <w:rPr>
                <w:rFonts w:ascii="Arial" w:hAnsi="Arial" w:cs="Arial"/>
                <w:b/>
                <w:sz w:val="18"/>
                <w:szCs w:val="18"/>
              </w:rPr>
              <w:t>(D</w:t>
            </w:r>
            <w:r w:rsidR="008F451B" w:rsidRPr="00FF627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323D73" w:rsidRPr="00DF6164" w:rsidRDefault="00323D73" w:rsidP="00EE1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</w:tcPr>
          <w:p w:rsidR="00FF6274" w:rsidRPr="003758F3" w:rsidRDefault="003758F3" w:rsidP="003758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process will assist the church in accounting for their fixed assets adequately. </w:t>
            </w:r>
          </w:p>
          <w:p w:rsidR="003758F3" w:rsidRPr="003758F3" w:rsidRDefault="003758F3" w:rsidP="003758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Detailed review of the fixed asset register reduces the risk of items being stolen or being purchased or sold without proper authorisation</w:t>
            </w:r>
          </w:p>
          <w:p w:rsidR="003758F3" w:rsidRPr="00590B7D" w:rsidRDefault="003758F3" w:rsidP="003758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90B7D">
              <w:rPr>
                <w:rFonts w:ascii="Arial" w:hAnsi="Arial" w:cs="Arial"/>
                <w:sz w:val="18"/>
                <w:szCs w:val="18"/>
              </w:rPr>
              <w:t>The fixed asset stock take will assist in accounting for the physical fixed assets still in existence with the church</w:t>
            </w:r>
            <w:r w:rsidR="00590B7D" w:rsidRPr="00590B7D">
              <w:rPr>
                <w:rFonts w:ascii="Arial" w:hAnsi="Arial" w:cs="Arial"/>
                <w:sz w:val="18"/>
                <w:szCs w:val="18"/>
              </w:rPr>
              <w:t xml:space="preserve"> and match it to what is recorded on the fixed asset register</w:t>
            </w:r>
          </w:p>
        </w:tc>
        <w:tc>
          <w:tcPr>
            <w:tcW w:w="3081" w:type="dxa"/>
          </w:tcPr>
          <w:p w:rsidR="00FF6274" w:rsidRDefault="00FF6274" w:rsidP="00EE1D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6274" w:rsidTr="00FF6274">
        <w:trPr>
          <w:trHeight w:val="1009"/>
        </w:trPr>
        <w:tc>
          <w:tcPr>
            <w:tcW w:w="3080" w:type="dxa"/>
          </w:tcPr>
          <w:p w:rsidR="00FF6274" w:rsidRPr="0099104E" w:rsidRDefault="0099104E" w:rsidP="00EE1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Set adequate depreciation rates for fixed asset classes </w:t>
            </w:r>
            <w:r w:rsidR="008F451B">
              <w:rPr>
                <w:rFonts w:ascii="Arial" w:hAnsi="Arial" w:cs="Arial"/>
                <w:b/>
                <w:sz w:val="18"/>
                <w:szCs w:val="18"/>
              </w:rPr>
              <w:t>(D</w:t>
            </w:r>
            <w:r w:rsidR="008F451B" w:rsidRPr="00FF627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081" w:type="dxa"/>
          </w:tcPr>
          <w:p w:rsidR="0099104E" w:rsidRPr="0099104E" w:rsidRDefault="0099104E" w:rsidP="009910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ensures that the church is not over or under depreciating its assets and the church is applying depreciation rates consistently</w:t>
            </w:r>
          </w:p>
          <w:p w:rsidR="0099104E" w:rsidRPr="0099104E" w:rsidRDefault="0099104E" w:rsidP="0099104E">
            <w:pPr>
              <w:pStyle w:val="List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1" w:type="dxa"/>
          </w:tcPr>
          <w:p w:rsidR="00FF6274" w:rsidRDefault="00FF6274" w:rsidP="00EE1D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6274" w:rsidTr="00FF6274">
        <w:trPr>
          <w:trHeight w:val="1009"/>
        </w:trPr>
        <w:tc>
          <w:tcPr>
            <w:tcW w:w="3080" w:type="dxa"/>
          </w:tcPr>
          <w:p w:rsidR="00FF6274" w:rsidRPr="008F451B" w:rsidRDefault="008F451B" w:rsidP="00EE1D2D">
            <w:pPr>
              <w:rPr>
                <w:rFonts w:ascii="Arial" w:hAnsi="Arial" w:cs="Arial"/>
                <w:sz w:val="18"/>
                <w:szCs w:val="18"/>
              </w:rPr>
            </w:pPr>
            <w:r w:rsidRPr="008F451B">
              <w:rPr>
                <w:rFonts w:ascii="Arial" w:hAnsi="Arial" w:cs="Arial"/>
                <w:sz w:val="18"/>
                <w:szCs w:val="18"/>
              </w:rPr>
              <w:lastRenderedPageBreak/>
              <w:t>Valuation of land and buildings</w:t>
            </w:r>
            <w:r>
              <w:rPr>
                <w:rFonts w:ascii="Arial" w:hAnsi="Arial" w:cs="Arial"/>
                <w:sz w:val="18"/>
                <w:szCs w:val="18"/>
              </w:rPr>
              <w:t xml:space="preserve"> to be done every 3 to 5 years </w:t>
            </w:r>
            <w:r>
              <w:rPr>
                <w:rFonts w:ascii="Arial" w:hAnsi="Arial" w:cs="Arial"/>
                <w:b/>
                <w:sz w:val="18"/>
                <w:szCs w:val="18"/>
              </w:rPr>
              <w:t>(D</w:t>
            </w:r>
            <w:r w:rsidRPr="00FF627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081" w:type="dxa"/>
          </w:tcPr>
          <w:p w:rsidR="00586DDB" w:rsidRDefault="00586DDB" w:rsidP="00586D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86DDB">
              <w:rPr>
                <w:rFonts w:ascii="Arial" w:hAnsi="Arial" w:cs="Arial"/>
                <w:sz w:val="18"/>
                <w:szCs w:val="18"/>
              </w:rPr>
              <w:t xml:space="preserve">This ensures that the value of land and buildings recorded is up to date. </w:t>
            </w:r>
          </w:p>
          <w:p w:rsidR="00586DDB" w:rsidRPr="00586DDB" w:rsidRDefault="00586DDB" w:rsidP="00586D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</w:tcPr>
          <w:p w:rsidR="00FF6274" w:rsidRDefault="00FF6274" w:rsidP="00EE1D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6274" w:rsidTr="00FF6274">
        <w:trPr>
          <w:trHeight w:val="1009"/>
        </w:trPr>
        <w:tc>
          <w:tcPr>
            <w:tcW w:w="3080" w:type="dxa"/>
          </w:tcPr>
          <w:p w:rsidR="00FF6274" w:rsidRDefault="00FF6274" w:rsidP="00EE1D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1" w:type="dxa"/>
          </w:tcPr>
          <w:p w:rsidR="00FF6274" w:rsidRDefault="00FF6274" w:rsidP="00EE1D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1" w:type="dxa"/>
          </w:tcPr>
          <w:p w:rsidR="00FF6274" w:rsidRDefault="00FF6274" w:rsidP="00EE1D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6274" w:rsidTr="00FF6274">
        <w:trPr>
          <w:trHeight w:val="1009"/>
        </w:trPr>
        <w:tc>
          <w:tcPr>
            <w:tcW w:w="3080" w:type="dxa"/>
          </w:tcPr>
          <w:p w:rsidR="00FF6274" w:rsidRDefault="00FF6274" w:rsidP="00EE1D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1" w:type="dxa"/>
          </w:tcPr>
          <w:p w:rsidR="00FF6274" w:rsidRDefault="00FF6274" w:rsidP="00EE1D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1" w:type="dxa"/>
          </w:tcPr>
          <w:p w:rsidR="00FF6274" w:rsidRDefault="00FF6274" w:rsidP="00EE1D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E1D2D" w:rsidRPr="00EE1D2D" w:rsidRDefault="00EE1D2D" w:rsidP="00EE1D2D">
      <w:pPr>
        <w:rPr>
          <w:rFonts w:ascii="Arial" w:hAnsi="Arial" w:cs="Arial"/>
          <w:b/>
          <w:sz w:val="18"/>
          <w:szCs w:val="18"/>
        </w:rPr>
      </w:pPr>
    </w:p>
    <w:sectPr w:rsidR="00EE1D2D" w:rsidRPr="00EE1D2D" w:rsidSect="00E82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37C9"/>
    <w:multiLevelType w:val="hybridMultilevel"/>
    <w:tmpl w:val="6D2A5270"/>
    <w:lvl w:ilvl="0" w:tplc="3D8689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outline w:val="0"/>
        <w:shadow w:val="0"/>
        <w:emboss w:val="0"/>
        <w:imprint w:val="0"/>
        <w:color w:val="000000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E4CF6"/>
    <w:multiLevelType w:val="hybridMultilevel"/>
    <w:tmpl w:val="4F861E1C"/>
    <w:lvl w:ilvl="0" w:tplc="3D8689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outline w:val="0"/>
        <w:shadow w:val="0"/>
        <w:emboss w:val="0"/>
        <w:imprint w:val="0"/>
        <w:color w:val="000000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1D2D"/>
    <w:rsid w:val="000113DF"/>
    <w:rsid w:val="001A7E9F"/>
    <w:rsid w:val="00266507"/>
    <w:rsid w:val="0031148C"/>
    <w:rsid w:val="00323D73"/>
    <w:rsid w:val="00361D43"/>
    <w:rsid w:val="003758F3"/>
    <w:rsid w:val="00586DDB"/>
    <w:rsid w:val="00590B7D"/>
    <w:rsid w:val="0067413A"/>
    <w:rsid w:val="00713AB4"/>
    <w:rsid w:val="008F451B"/>
    <w:rsid w:val="00973C52"/>
    <w:rsid w:val="0099104E"/>
    <w:rsid w:val="00A031DC"/>
    <w:rsid w:val="00D13F7D"/>
    <w:rsid w:val="00D2707D"/>
    <w:rsid w:val="00DF6164"/>
    <w:rsid w:val="00E82560"/>
    <w:rsid w:val="00EE1D2D"/>
    <w:rsid w:val="00F7144B"/>
    <w:rsid w:val="00FF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DF"/>
    <w:pPr>
      <w:spacing w:before="160" w:after="0" w:line="268" w:lineRule="atLeast"/>
    </w:pPr>
    <w:rPr>
      <w:rFonts w:ascii="Trebuchet MS" w:hAnsi="Trebuchet MS" w:cs="Times New Roman"/>
      <w:sz w:val="21"/>
      <w:szCs w:val="21"/>
    </w:rPr>
  </w:style>
  <w:style w:type="paragraph" w:styleId="Heading1">
    <w:name w:val="heading 1"/>
    <w:basedOn w:val="Normal"/>
    <w:next w:val="Normal"/>
    <w:link w:val="Heading1Char"/>
    <w:qFormat/>
    <w:rsid w:val="000113DF"/>
    <w:pPr>
      <w:keepNext/>
      <w:tabs>
        <w:tab w:val="left" w:pos="527"/>
      </w:tabs>
      <w:spacing w:before="360" w:after="120" w:line="400" w:lineRule="atLeast"/>
      <w:outlineLvl w:val="0"/>
    </w:pPr>
    <w:rPr>
      <w:rFonts w:ascii="Tahoma" w:hAnsi="Tahoma"/>
      <w:noProof/>
      <w:kern w:val="28"/>
      <w:sz w:val="30"/>
    </w:rPr>
  </w:style>
  <w:style w:type="paragraph" w:styleId="Heading2">
    <w:name w:val="heading 2"/>
    <w:basedOn w:val="Normal"/>
    <w:next w:val="Normal"/>
    <w:link w:val="Heading2Char"/>
    <w:unhideWhenUsed/>
    <w:qFormat/>
    <w:rsid w:val="000113DF"/>
    <w:pPr>
      <w:keepNext/>
      <w:tabs>
        <w:tab w:val="left" w:pos="482"/>
      </w:tabs>
      <w:spacing w:before="360" w:after="60" w:line="340" w:lineRule="atLeast"/>
      <w:outlineLvl w:val="1"/>
    </w:pPr>
    <w:rPr>
      <w:rFonts w:ascii="Tahoma" w:hAnsi="Tahoma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13DF"/>
    <w:rPr>
      <w:rFonts w:ascii="Tahoma" w:eastAsia="Times New Roman" w:hAnsi="Tahoma" w:cs="Times New Roman"/>
      <w:noProof/>
      <w:kern w:val="28"/>
      <w:sz w:val="30"/>
      <w:szCs w:val="21"/>
    </w:rPr>
  </w:style>
  <w:style w:type="character" w:customStyle="1" w:styleId="Heading2Char">
    <w:name w:val="Heading 2 Char"/>
    <w:basedOn w:val="DefaultParagraphFont"/>
    <w:link w:val="Heading2"/>
    <w:rsid w:val="000113DF"/>
    <w:rPr>
      <w:rFonts w:ascii="Tahoma" w:eastAsia="Times New Roman" w:hAnsi="Tahoma" w:cs="Times New Roman"/>
      <w:sz w:val="26"/>
      <w:szCs w:val="21"/>
    </w:rPr>
  </w:style>
  <w:style w:type="paragraph" w:styleId="NoSpacing">
    <w:name w:val="No Spacing"/>
    <w:aliases w:val="Normal2"/>
    <w:uiPriority w:val="1"/>
    <w:qFormat/>
    <w:rsid w:val="000113DF"/>
    <w:pPr>
      <w:spacing w:after="0" w:line="240" w:lineRule="auto"/>
    </w:pPr>
    <w:rPr>
      <w:rFonts w:ascii="Trebuchet MS" w:hAnsi="Trebuchet MS" w:cs="Tahoma"/>
      <w:sz w:val="21"/>
      <w:szCs w:val="21"/>
    </w:rPr>
  </w:style>
  <w:style w:type="table" w:styleId="TableGrid">
    <w:name w:val="Table Grid"/>
    <w:basedOn w:val="TableNormal"/>
    <w:uiPriority w:val="59"/>
    <w:rsid w:val="00EE1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6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CF906-85F9-4EFD-8938-DE26AED6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Saward Dawson</dc:creator>
  <cp:lastModifiedBy>Helen Boucher</cp:lastModifiedBy>
  <cp:revision>2</cp:revision>
  <dcterms:created xsi:type="dcterms:W3CDTF">2013-12-08T23:26:00Z</dcterms:created>
  <dcterms:modified xsi:type="dcterms:W3CDTF">2013-12-08T23:26:00Z</dcterms:modified>
</cp:coreProperties>
</file>